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c="http://schemas.openxmlformats.org/drawingml/2006/chart" mc:Ignorable="w14 w15 w16se w16cid w16 w16cex w16sdtdh wp14">
  <w:body>
    <w:p w:rsidR="00BE68D3" w:rsidP="002E20CF" w:rsidRDefault="00BE68D3" w14:paraId="5DC5AD98" w14:textId="39CEDB33">
      <w:pPr>
        <w:pStyle w:val="Nagwek1"/>
        <w:numPr>
          <w:ilvl w:val="0"/>
          <w:numId w:val="0"/>
        </w:numPr>
        <w:ind w:left="432" w:hanging="432"/>
      </w:pPr>
      <w:bookmarkStart w:name="_Toc91159586" w:id="0"/>
      <w:r>
        <w:t xml:space="preserve">Województwo Podlaskie </w:t>
      </w:r>
    </w:p>
    <w:p w:rsidRPr="00BE68D3" w:rsidR="00C663DE" w:rsidP="00BE68D3" w:rsidRDefault="00C663DE" w14:paraId="4F65CA05" w14:textId="097EBA81">
      <w:pPr>
        <w:pStyle w:val="Nagwek2"/>
        <w:rPr>
          <w:b/>
          <w:bCs/>
          <w:color w:val="auto"/>
        </w:rPr>
      </w:pPr>
      <w:r w:rsidRPr="00BE68D3">
        <w:rPr>
          <w:b/>
          <w:bCs/>
          <w:color w:val="auto"/>
        </w:rPr>
        <w:t>Wartość wskaźnika dla RPO Województwa Podlaskiego</w:t>
      </w:r>
      <w:bookmarkEnd w:id="0"/>
    </w:p>
    <w:p w:rsidR="001E4AB3" w:rsidP="001E4AB3" w:rsidRDefault="001E4AB3" w14:paraId="5222F333" w14:textId="77777777">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rsidR="002E20CF" w:rsidP="00C54872" w:rsidRDefault="001E4AB3" w14:paraId="673FFC2B" w14:textId="1E3EFB4B">
      <w:r>
        <w:t xml:space="preserve">Analiza wykazała, że w ramach </w:t>
      </w:r>
      <w:r w:rsidRPr="001F3195" w:rsidR="00C663DE">
        <w:rPr>
          <w:b/>
          <w:bCs/>
        </w:rPr>
        <w:t xml:space="preserve">RPO Województwa </w:t>
      </w:r>
      <w:r w:rsidR="00C663DE">
        <w:rPr>
          <w:b/>
          <w:bCs/>
        </w:rPr>
        <w:t xml:space="preserve">Podlaskiego </w:t>
      </w:r>
      <w:r w:rsidRPr="001E4AB3">
        <w:t xml:space="preserve">osiągnięto wartość wskaźnika na poziomie: </w:t>
      </w:r>
      <w:r>
        <w:t xml:space="preserve">74% </w:t>
      </w:r>
      <w:r w:rsidRPr="001E4AB3">
        <w:t xml:space="preserve">miejsc pracy, które istniały co najmniej 30 miesięcy (wartość skumulowana wskaźnika). </w:t>
      </w:r>
      <w:r w:rsidR="00C663DE">
        <w:t xml:space="preserve">IZ Województwa Podlaskiego założyła docelową wartość wskaźnika na poziomie </w:t>
      </w:r>
      <w:r w:rsidR="00F334B3">
        <w:rPr>
          <w:b/>
          <w:bCs/>
        </w:rPr>
        <w:t>30</w:t>
      </w:r>
      <w:r w:rsidRPr="00754EA0" w:rsidR="00C663DE">
        <w:rPr>
          <w:b/>
          <w:bCs/>
        </w:rPr>
        <w:t xml:space="preserve">%. </w:t>
      </w:r>
      <w:r w:rsidR="00C663DE">
        <w:t xml:space="preserve">Oznacza to, że utworzone miejsca pracy w przedsiębiorstwach społecznych charakteryzują się znacznie większą trwałością niż założono na etapie programowania. </w:t>
      </w:r>
    </w:p>
    <w:tbl>
      <w:tblPr>
        <w:tblStyle w:val="Tabela-Siatka"/>
        <w:tblW w:w="0" w:type="auto"/>
        <w:tblLook w:val="04A0" w:firstRow="1" w:lastRow="0" w:firstColumn="1" w:lastColumn="0" w:noHBand="0" w:noVBand="1"/>
      </w:tblPr>
      <w:tblGrid>
        <w:gridCol w:w="4673"/>
        <w:gridCol w:w="3990"/>
      </w:tblGrid>
      <w:tr w:rsidR="00C663DE" w:rsidTr="7D72DEA7" w14:paraId="715F8C47" w14:textId="77777777">
        <w:trPr>
          <w:trHeight w:val="461"/>
        </w:trPr>
        <w:tc>
          <w:tcPr>
            <w:tcW w:w="4673" w:type="dxa"/>
            <w:tcMar/>
            <w:vAlign w:val="center"/>
          </w:tcPr>
          <w:p w:rsidRPr="00FC6E69" w:rsidR="00C663DE" w:rsidP="001D69EE" w:rsidRDefault="00C663DE" w14:paraId="39617072" w14:textId="77777777">
            <w:pPr>
              <w:jc w:val="center"/>
              <w:rPr>
                <w:b/>
                <w:bCs/>
              </w:rPr>
            </w:pPr>
            <w:r w:rsidRPr="00FC6E69">
              <w:rPr>
                <w:b/>
                <w:bCs/>
              </w:rPr>
              <w:t>Województwo</w:t>
            </w:r>
          </w:p>
        </w:tc>
        <w:tc>
          <w:tcPr>
            <w:tcW w:w="3990" w:type="dxa"/>
            <w:tcMar/>
            <w:vAlign w:val="center"/>
          </w:tcPr>
          <w:p w:rsidRPr="00FC6E69" w:rsidR="00C663DE" w:rsidP="001D69EE" w:rsidRDefault="00C663DE" w14:paraId="6A239031" w14:textId="77777777">
            <w:pPr>
              <w:jc w:val="center"/>
              <w:rPr>
                <w:b/>
                <w:bCs/>
              </w:rPr>
            </w:pPr>
            <w:r>
              <w:rPr>
                <w:b/>
                <w:bCs/>
              </w:rPr>
              <w:t>podlaskie</w:t>
            </w:r>
          </w:p>
        </w:tc>
      </w:tr>
      <w:tr w:rsidR="00C663DE" w:rsidTr="7D72DEA7" w14:paraId="08D360AD" w14:textId="77777777">
        <w:trPr>
          <w:trHeight w:val="461"/>
        </w:trPr>
        <w:tc>
          <w:tcPr>
            <w:tcW w:w="4673" w:type="dxa"/>
            <w:tcMar/>
            <w:vAlign w:val="center"/>
          </w:tcPr>
          <w:p w:rsidRPr="00FC6E69" w:rsidR="00C663DE" w:rsidP="001D69EE" w:rsidRDefault="00C663DE" w14:paraId="79956FE2" w14:textId="42392F2F">
            <w:pPr>
              <w:jc w:val="center"/>
              <w:rPr>
                <w:b/>
                <w:bCs/>
              </w:rPr>
            </w:pPr>
            <w:r>
              <w:t>Docelowa wartość wskaźnika – liczba miejsc pracy utworzonych w przedsiębiorstwach społecznych</w:t>
            </w:r>
            <w:r w:rsidR="00C2240C">
              <w:t xml:space="preserve"> </w:t>
            </w:r>
          </w:p>
        </w:tc>
        <w:tc>
          <w:tcPr>
            <w:tcW w:w="3990" w:type="dxa"/>
            <w:tcMar/>
            <w:vAlign w:val="center"/>
          </w:tcPr>
          <w:p w:rsidR="00C663DE" w:rsidP="001D69EE" w:rsidRDefault="00C663DE" w14:paraId="74F2271C" w14:textId="77777777">
            <w:pPr>
              <w:jc w:val="center"/>
              <w:rPr>
                <w:b/>
                <w:bCs/>
              </w:rPr>
            </w:pPr>
            <w:r>
              <w:rPr>
                <w:b/>
                <w:bCs/>
              </w:rPr>
              <w:t>473</w:t>
            </w:r>
          </w:p>
        </w:tc>
      </w:tr>
      <w:tr w:rsidR="00C663DE" w:rsidTr="7D72DEA7" w14:paraId="62667E82" w14:textId="77777777">
        <w:trPr>
          <w:trHeight w:val="653"/>
        </w:trPr>
        <w:tc>
          <w:tcPr>
            <w:tcW w:w="4673" w:type="dxa"/>
            <w:tcMar/>
            <w:vAlign w:val="center"/>
          </w:tcPr>
          <w:p w:rsidR="00C663DE" w:rsidP="001D69EE" w:rsidRDefault="00C663DE" w14:paraId="303077EF" w14:textId="77777777">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3990" w:type="dxa"/>
            <w:tcMar/>
            <w:vAlign w:val="center"/>
          </w:tcPr>
          <w:p w:rsidR="00C663DE" w:rsidP="001D69EE" w:rsidRDefault="00C663DE" w14:paraId="4E75D04F" w14:textId="77777777">
            <w:pPr>
              <w:jc w:val="center"/>
            </w:pPr>
            <w:r>
              <w:t>142</w:t>
            </w:r>
          </w:p>
          <w:p w:rsidR="00C663DE" w:rsidP="001D69EE" w:rsidRDefault="00C663DE" w14:paraId="18C5414A" w14:textId="77777777">
            <w:pPr>
              <w:jc w:val="center"/>
            </w:pPr>
            <w:r>
              <w:t>(wartość wyliczona na podstawie wartości wyrażonej w %)</w:t>
            </w:r>
          </w:p>
        </w:tc>
      </w:tr>
      <w:tr w:rsidR="00C663DE" w:rsidTr="7D72DEA7" w14:paraId="3EDDEF0D" w14:textId="77777777">
        <w:trPr>
          <w:trHeight w:val="782"/>
        </w:trPr>
        <w:tc>
          <w:tcPr>
            <w:tcW w:w="4673" w:type="dxa"/>
            <w:tcMar/>
            <w:vAlign w:val="center"/>
          </w:tcPr>
          <w:p w:rsidR="00C663DE" w:rsidP="001D69EE" w:rsidRDefault="00C663DE" w14:paraId="11103E23" w14:textId="77777777">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3990" w:type="dxa"/>
            <w:tcMar/>
            <w:vAlign w:val="center"/>
          </w:tcPr>
          <w:p w:rsidR="00C663DE" w:rsidP="001D69EE" w:rsidRDefault="00F334B3" w14:paraId="372C7053" w14:textId="05E8698A">
            <w:pPr>
              <w:jc w:val="center"/>
            </w:pPr>
            <w:r>
              <w:t>30</w:t>
            </w:r>
            <w:r w:rsidR="00C663DE">
              <w:t>%</w:t>
            </w:r>
          </w:p>
        </w:tc>
      </w:tr>
      <w:tr w:rsidR="00C663DE" w:rsidTr="7D72DEA7" w14:paraId="0EA5CFF6" w14:textId="77777777">
        <w:trPr>
          <w:trHeight w:val="661"/>
        </w:trPr>
        <w:tc>
          <w:tcPr>
            <w:tcW w:w="4673" w:type="dxa"/>
            <w:shd w:val="clear" w:color="auto" w:fill="auto"/>
            <w:tcMar/>
            <w:vAlign w:val="center"/>
          </w:tcPr>
          <w:p w:rsidR="00C663DE" w:rsidP="001D69EE" w:rsidRDefault="001E4AB3" w14:paraId="6328A9D3" w14:textId="1EE52331">
            <w:pPr>
              <w:jc w:val="center"/>
            </w:pPr>
            <w:r>
              <w:t xml:space="preserve">I Pomiar – </w:t>
            </w:r>
            <w:r w:rsidR="00C663DE">
              <w:t>Liczba miejsc pracy objętych analizą (miejsca pracy powstałe między 1.07.2015 – 31.12.2018)</w:t>
            </w:r>
          </w:p>
        </w:tc>
        <w:tc>
          <w:tcPr>
            <w:tcW w:w="3990" w:type="dxa"/>
            <w:shd w:val="clear" w:color="auto" w:fill="auto"/>
            <w:tcMar/>
            <w:vAlign w:val="center"/>
          </w:tcPr>
          <w:p w:rsidR="00C663DE" w:rsidP="001D69EE" w:rsidRDefault="00C663DE" w14:paraId="2A07F745" w14:textId="77777777">
            <w:pPr>
              <w:jc w:val="center"/>
            </w:pPr>
            <w:r>
              <w:t>181</w:t>
            </w:r>
          </w:p>
        </w:tc>
      </w:tr>
      <w:tr w:rsidR="00C663DE" w:rsidTr="7D72DEA7" w14:paraId="41BF3B80" w14:textId="77777777">
        <w:trPr>
          <w:trHeight w:val="915"/>
        </w:trPr>
        <w:tc>
          <w:tcPr>
            <w:tcW w:w="4673" w:type="dxa"/>
            <w:shd w:val="clear" w:color="auto" w:fill="auto"/>
            <w:tcMar/>
            <w:vAlign w:val="center"/>
          </w:tcPr>
          <w:p w:rsidR="00C663DE" w:rsidP="001D69EE" w:rsidRDefault="001E4AB3" w14:paraId="0A27C532" w14:textId="5783C5DF">
            <w:pPr>
              <w:jc w:val="center"/>
            </w:pPr>
            <w:r>
              <w:t xml:space="preserve">I Pomiar – </w:t>
            </w:r>
            <w:r w:rsidR="00C663DE">
              <w:t>Liczba miejsc pracy objętych analizą istniejących co najmniej 30 miesięcy</w:t>
            </w:r>
          </w:p>
        </w:tc>
        <w:tc>
          <w:tcPr>
            <w:tcW w:w="3990" w:type="dxa"/>
            <w:shd w:val="clear" w:color="auto" w:fill="auto"/>
            <w:tcMar/>
            <w:vAlign w:val="center"/>
          </w:tcPr>
          <w:p w:rsidR="00C663DE" w:rsidP="001D69EE" w:rsidRDefault="00C663DE" w14:paraId="32C4C4D0" w14:textId="77777777">
            <w:pPr>
              <w:jc w:val="center"/>
            </w:pPr>
            <w:r>
              <w:t>127</w:t>
            </w:r>
          </w:p>
        </w:tc>
      </w:tr>
      <w:tr w:rsidR="00C663DE" w:rsidTr="7D72DEA7" w14:paraId="03FF984B" w14:textId="77777777">
        <w:trPr>
          <w:trHeight w:val="915"/>
        </w:trPr>
        <w:tc>
          <w:tcPr>
            <w:tcW w:w="4673" w:type="dxa"/>
            <w:shd w:val="clear" w:color="auto" w:fill="auto"/>
            <w:tcMar/>
            <w:vAlign w:val="center"/>
          </w:tcPr>
          <w:p w:rsidR="00C663DE" w:rsidP="001D69EE" w:rsidRDefault="001E4AB3" w14:paraId="605A7278" w14:textId="754AE941">
            <w:pPr>
              <w:jc w:val="center"/>
            </w:pPr>
            <w:r>
              <w:t xml:space="preserve">I Pomiar – </w:t>
            </w:r>
            <w:r w:rsidR="00C663DE">
              <w:t>Odsetek miejsc pracy objętych analizą istniejących co najmniej 30 miesięcy</w:t>
            </w:r>
          </w:p>
        </w:tc>
        <w:tc>
          <w:tcPr>
            <w:tcW w:w="3990" w:type="dxa"/>
            <w:shd w:val="clear" w:color="auto" w:fill="auto"/>
            <w:tcMar/>
            <w:vAlign w:val="center"/>
          </w:tcPr>
          <w:p w:rsidR="00C663DE" w:rsidP="001D69EE" w:rsidRDefault="00C663DE" w14:paraId="08E63EB0" w14:textId="5BADF1EA">
            <w:pPr>
              <w:jc w:val="center"/>
            </w:pPr>
            <w:r>
              <w:t>70</w:t>
            </w:r>
            <w:r w:rsidR="00944BCC">
              <w:t>,2</w:t>
            </w:r>
            <w:r>
              <w:t>%</w:t>
            </w:r>
          </w:p>
        </w:tc>
      </w:tr>
      <w:tr w:rsidR="001E4AB3" w:rsidTr="7D72DEA7" w14:paraId="27EDA928" w14:textId="77777777">
        <w:trPr>
          <w:trHeight w:val="252"/>
        </w:trPr>
        <w:tc>
          <w:tcPr>
            <w:tcW w:w="4673" w:type="dxa"/>
            <w:shd w:val="clear" w:color="auto" w:fill="auto"/>
            <w:tcMar/>
            <w:vAlign w:val="center"/>
          </w:tcPr>
          <w:p w:rsidR="001E4AB3" w:rsidP="00451619" w:rsidRDefault="001E4AB3" w14:paraId="32B295DF" w14:textId="77777777">
            <w:pPr>
              <w:jc w:val="center"/>
            </w:pPr>
            <w:r>
              <w:lastRenderedPageBreak/>
              <w:t>II Pomiar – Liczba miejsc pracy objętych analizą w ramach II pomiaru (miejsca pracy powstałe między 1.01.2019 – 31.12.2020)</w:t>
            </w:r>
          </w:p>
        </w:tc>
        <w:tc>
          <w:tcPr>
            <w:tcW w:w="3990" w:type="dxa"/>
            <w:shd w:val="clear" w:color="auto" w:fill="auto"/>
            <w:tcMar/>
            <w:vAlign w:val="center"/>
          </w:tcPr>
          <w:p w:rsidR="001E4AB3" w:rsidP="00451619" w:rsidRDefault="001E4AB3" w14:paraId="082C560B" w14:textId="2AECCDBA">
            <w:pPr>
              <w:jc w:val="center"/>
            </w:pPr>
            <w:r>
              <w:t>111</w:t>
            </w:r>
          </w:p>
        </w:tc>
      </w:tr>
      <w:tr w:rsidR="001E4AB3" w:rsidTr="7D72DEA7" w14:paraId="4B3CA8D1" w14:textId="77777777">
        <w:trPr>
          <w:trHeight w:val="252"/>
        </w:trPr>
        <w:tc>
          <w:tcPr>
            <w:tcW w:w="4673" w:type="dxa"/>
            <w:shd w:val="clear" w:color="auto" w:fill="auto"/>
            <w:tcMar/>
            <w:vAlign w:val="center"/>
          </w:tcPr>
          <w:p w:rsidR="001E4AB3" w:rsidP="00451619" w:rsidRDefault="001E4AB3" w14:paraId="637F301B" w14:textId="77777777">
            <w:pPr>
              <w:jc w:val="center"/>
            </w:pPr>
            <w:r>
              <w:t>II Pomiar – Liczba miejsc pracy objętych analizą istniejących co najmniej 30 miesięcy</w:t>
            </w:r>
          </w:p>
        </w:tc>
        <w:tc>
          <w:tcPr>
            <w:tcW w:w="3990" w:type="dxa"/>
            <w:shd w:val="clear" w:color="auto" w:fill="auto"/>
            <w:tcMar/>
            <w:vAlign w:val="center"/>
          </w:tcPr>
          <w:p w:rsidR="001E4AB3" w:rsidP="00451619" w:rsidRDefault="001E4AB3" w14:paraId="21656E14" w14:textId="7BA9FA16">
            <w:pPr>
              <w:jc w:val="center"/>
            </w:pPr>
            <w:r>
              <w:t>89</w:t>
            </w:r>
          </w:p>
        </w:tc>
      </w:tr>
      <w:tr w:rsidR="001E4AB3" w:rsidTr="7D72DEA7" w14:paraId="321747AA" w14:textId="77777777">
        <w:trPr>
          <w:trHeight w:val="252"/>
        </w:trPr>
        <w:tc>
          <w:tcPr>
            <w:tcW w:w="4673" w:type="dxa"/>
            <w:shd w:val="clear" w:color="auto" w:fill="auto"/>
            <w:tcMar/>
            <w:vAlign w:val="center"/>
          </w:tcPr>
          <w:p w:rsidR="001E4AB3" w:rsidP="00451619" w:rsidRDefault="001E4AB3" w14:paraId="71253290" w14:textId="77777777">
            <w:pPr>
              <w:jc w:val="center"/>
            </w:pPr>
            <w:r>
              <w:t>II Pomiar – Odsetek miejsc pracy objętych analizą istniejących co najmniej 30 miesięcy</w:t>
            </w:r>
          </w:p>
        </w:tc>
        <w:tc>
          <w:tcPr>
            <w:tcW w:w="3990" w:type="dxa"/>
            <w:shd w:val="clear" w:color="auto" w:fill="auto"/>
            <w:tcMar/>
            <w:vAlign w:val="center"/>
          </w:tcPr>
          <w:p w:rsidR="001E4AB3" w:rsidP="00451619" w:rsidRDefault="001E4AB3" w14:paraId="3B11B9F2" w14:textId="50CA4F3B">
            <w:pPr>
              <w:jc w:val="center"/>
            </w:pPr>
            <w:r>
              <w:t>80</w:t>
            </w:r>
            <w:r w:rsidR="00944BCC">
              <w:t>,2</w:t>
            </w:r>
            <w:r>
              <w:t>%</w:t>
            </w:r>
          </w:p>
        </w:tc>
      </w:tr>
      <w:tr w:rsidR="001E4AB3" w:rsidTr="7D72DEA7" w14:paraId="29935572" w14:textId="77777777">
        <w:trPr>
          <w:trHeight w:val="199"/>
        </w:trPr>
        <w:tc>
          <w:tcPr>
            <w:tcW w:w="4673" w:type="dxa"/>
            <w:tcMar/>
            <w:vAlign w:val="center"/>
          </w:tcPr>
          <w:p w:rsidR="001E4AB3" w:rsidP="001D69EE" w:rsidRDefault="00992630" w14:paraId="7F822B1E" w14:textId="164A01BC">
            <w:pPr>
              <w:jc w:val="center"/>
            </w:pPr>
            <w:r>
              <w:t xml:space="preserve">Skumulowana wartość wskaźnika </w:t>
            </w:r>
            <w:r w:rsidRPr="006E06B0">
              <w:rPr>
                <w:i/>
                <w:iCs/>
              </w:rPr>
              <w:t>Liczba miejsc pracy istniejących co najmniej 30 miesięcy, utworzonych w przedsiębiorstwach społecznych</w:t>
            </w:r>
          </w:p>
        </w:tc>
        <w:tc>
          <w:tcPr>
            <w:tcW w:w="3990" w:type="dxa"/>
            <w:tcMar/>
            <w:vAlign w:val="center"/>
          </w:tcPr>
          <w:p w:rsidR="001E4AB3" w:rsidP="001D69EE" w:rsidRDefault="00003713" w14:paraId="52EB57C7" w14:textId="7569B118">
            <w:pPr>
              <w:jc w:val="center"/>
            </w:pPr>
            <w:r w:rsidR="00003713">
              <w:rPr/>
              <w:t>216 (</w:t>
            </w:r>
            <w:r w:rsidR="001E4AB3">
              <w:rPr/>
              <w:t>7</w:t>
            </w:r>
            <w:r w:rsidR="7812C8FF">
              <w:rPr/>
              <w:t>3,9</w:t>
            </w:r>
            <w:r w:rsidR="001E4AB3">
              <w:rPr/>
              <w:t>%</w:t>
            </w:r>
            <w:r w:rsidR="00003713">
              <w:rPr/>
              <w:t>)</w:t>
            </w:r>
          </w:p>
        </w:tc>
      </w:tr>
      <w:tr w:rsidR="001E4AB3" w:rsidTr="7D72DEA7" w14:paraId="649605FE" w14:textId="77777777">
        <w:trPr>
          <w:trHeight w:val="199"/>
        </w:trPr>
        <w:tc>
          <w:tcPr>
            <w:tcW w:w="4673" w:type="dxa"/>
            <w:tcMar/>
            <w:vAlign w:val="center"/>
          </w:tcPr>
          <w:p w:rsidR="001E4AB3" w:rsidP="001E4AB3" w:rsidRDefault="001E4AB3" w14:paraId="1441BC53" w14:textId="7DAE5395">
            <w:pPr>
              <w:jc w:val="center"/>
            </w:pPr>
            <w:r>
              <w:t xml:space="preserve">Ocena uzyskanej wartości wskaźnika </w:t>
            </w:r>
          </w:p>
        </w:tc>
        <w:tc>
          <w:tcPr>
            <w:tcW w:w="3990" w:type="dxa"/>
            <w:tcMar/>
            <w:vAlign w:val="center"/>
          </w:tcPr>
          <w:p w:rsidR="001E4AB3" w:rsidP="001E4AB3" w:rsidRDefault="001E4AB3" w14:paraId="38E281B0" w14:textId="042876A5">
            <w:pPr>
              <w:jc w:val="center"/>
            </w:pPr>
            <w:r>
              <w:t xml:space="preserve">Osiągnięto wartość wskaźnika powyżej zakładanej wartości. </w:t>
            </w:r>
          </w:p>
        </w:tc>
      </w:tr>
    </w:tbl>
    <w:p w:rsidR="002E20CF" w:rsidP="00C54872" w:rsidRDefault="00C663DE" w14:paraId="4E9BE9DD" w14:textId="0C89E02D">
      <w:pPr>
        <w:pStyle w:val="Legenda"/>
      </w:pPr>
      <w:r>
        <w:t xml:space="preserve">Opracowanie własne na podstawie badania CATI/CAWI wśród przedsiębiorstw społecznych przeprowadzonego w ramach I </w:t>
      </w:r>
      <w:proofErr w:type="spellStart"/>
      <w:r w:rsidR="001E4AB3">
        <w:t>i</w:t>
      </w:r>
      <w:proofErr w:type="spellEnd"/>
      <w:r w:rsidR="001E4AB3">
        <w:t xml:space="preserve"> II </w:t>
      </w:r>
      <w:r>
        <w:t xml:space="preserve">pomiaru. </w:t>
      </w:r>
    </w:p>
    <w:p w:rsidR="00C663DE" w:rsidP="00C663DE" w:rsidRDefault="00C663DE" w14:paraId="4625F811" w14:textId="5178DF0D">
      <w:r w:rsidRPr="00080E76">
        <w:t>Wartości wskaźnika wyliczone w ramach I pomiaru realizowanego w 2021 roku różnią się w podziale na subregiony (</w:t>
      </w:r>
      <w:proofErr w:type="spellStart"/>
      <w:r w:rsidRPr="00080E76">
        <w:t>OWESy</w:t>
      </w:r>
      <w:proofErr w:type="spellEnd"/>
      <w:r w:rsidRPr="00080E76">
        <w:t xml:space="preserve">) realizujące wsparcie na rzecz tworzenia miejsc pracy w przedsiębiorstwach społecznych na terenie województwa </w:t>
      </w:r>
      <w:r>
        <w:t>podlaskiego</w:t>
      </w:r>
      <w:r w:rsidRPr="00080E76">
        <w:t xml:space="preserve">. Miejsca pracy utworzone na terenie oddziaływania OWES </w:t>
      </w:r>
      <w:r>
        <w:t>„Rozwój Ekonomii Społecznej” c</w:t>
      </w:r>
      <w:r w:rsidRPr="00080E76">
        <w:t>harakteryzują się wyższym odsetkiem miejsc pracy, które istniały co najmniej 30 miesięcy niż pozostałe subregiony.</w:t>
      </w:r>
      <w:r w:rsidR="00D74C10">
        <w:t xml:space="preserve"> Podczas II pomiaru wartości wskaźnika w subregionach również się różniły. Tym razem najwyższą wartość wskaźnika osiągnął OWES „Wzmocnienie roli ekonomii społecznej w Subregionie Belskim”</w:t>
      </w:r>
    </w:p>
    <w:p w:rsidRPr="001E4AB3" w:rsidR="001E4AB3" w:rsidP="001E4AB3" w:rsidRDefault="00C663DE" w14:paraId="009B293B" w14:textId="4032CADD">
      <w:pPr>
        <w:pStyle w:val="Legenda"/>
      </w:pPr>
      <w:r>
        <w:rPr>
          <w:noProof/>
          <w:lang w:eastAsia="pl-PL"/>
        </w:rPr>
        <w:drawing>
          <wp:inline distT="0" distB="0" distL="0" distR="0" wp14:anchorId="43D49B55" wp14:editId="7887E058">
            <wp:extent cx="5474524" cy="2612572"/>
            <wp:effectExtent l="0" t="0" r="0" b="0"/>
            <wp:docPr id="63" name="Wykres 63" descr="Wykres przedstawiający Wartość wskaźnika Liczba miejsc pracy istniejących co najmniej 30 miesięcy, utworzonych w przedsiębiorstwach społecznych w podziale na OWES – podlaskie:&#10;Białostocki Ośrodek Wsparcia Ekonomii Społecznej - 64%&#10;Podlaskie Centrum Wspierania Ekonomii Społecznej - 69%&#10;Rozwój Ekonomii Społecznej - 84%">
              <a:extLst xmlns:a="http://schemas.openxmlformats.org/drawingml/2006/main">
                <a:ext uri="{FF2B5EF4-FFF2-40B4-BE49-F238E27FC236}">
                  <a16:creationId xmlns:a16="http://schemas.microsoft.com/office/drawing/2014/main" id="{5779450A-B451-44BD-920D-C29C3234A5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1E4AB3">
        <w:t>Opracowanie własne na podstawie badania CATI/CAWI wśród przedsiębiorstw społecznych przeprowadzonego w ramach I pomiaru. N=41</w:t>
      </w:r>
    </w:p>
    <w:p w:rsidR="00C663DE" w:rsidP="00C663DE" w:rsidRDefault="001E4AB3" w14:paraId="5DD0BB32" w14:textId="7646394F">
      <w:pPr>
        <w:pStyle w:val="Legenda"/>
      </w:pPr>
      <w:r>
        <w:rPr>
          <w:noProof/>
          <w:lang w:eastAsia="pl-PL"/>
        </w:rPr>
        <w:lastRenderedPageBreak/>
        <w:drawing>
          <wp:inline distT="0" distB="0" distL="0" distR="0" wp14:anchorId="4A07061F" wp14:editId="580789E5">
            <wp:extent cx="5581650" cy="2667000"/>
            <wp:effectExtent l="0" t="0" r="0" b="0"/>
            <wp:docPr id="9" name="Wykres 9"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79CD5352-DEDB-4D8A-A8A3-5EAD5404CB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C663DE">
        <w:t>Opracowanie własne na podstawie badania CATI/CAWI wśród przedsiębiorstw społeczn</w:t>
      </w:r>
      <w:r>
        <w:t xml:space="preserve">ych przeprowadzonego w ramach II </w:t>
      </w:r>
      <w:r w:rsidR="00C663DE">
        <w:t xml:space="preserve">pomiaru. </w:t>
      </w:r>
      <w:r>
        <w:t>N=25</w:t>
      </w:r>
    </w:p>
    <w:p w:rsidRPr="0075151C" w:rsidR="00C663DE" w:rsidP="00C663DE" w:rsidRDefault="00BC23D8" w14:paraId="3E812264" w14:textId="1F175BA2">
      <w:r>
        <w:t xml:space="preserve">Miejsca pracy, które powstały dzięki wsparciu z RPO Województwa Podlaskiego na lata 2014-2020 charakteryzują się bardzo dużą przeżywalnością jeśli chodzi o okres objęty analizą (30 miesięcy). Analiza likwidowanych miejsc pracy pozwoliła </w:t>
      </w:r>
      <w:r w:rsidR="00271A43">
        <w:t>zauważyć</w:t>
      </w:r>
      <w:r>
        <w:t xml:space="preserve">, że najwięcej miejsc pracy likwidowanych jest </w:t>
      </w:r>
      <w:r w:rsidR="00271A43">
        <w:t>jeszcze w</w:t>
      </w:r>
      <w:r>
        <w:t xml:space="preserve"> okresie trwa</w:t>
      </w:r>
      <w:r w:rsidR="00271A43">
        <w:t>łości – między 12, a 30 miesiącem istnienia stanowiska pracy</w:t>
      </w:r>
      <w:r>
        <w:t xml:space="preserve">. </w:t>
      </w:r>
    </w:p>
    <w:p w:rsidR="001E4AB3" w:rsidP="00C663DE" w:rsidRDefault="00C663DE" w14:paraId="6B8E842C" w14:textId="273BAD0D">
      <w:pPr>
        <w:pStyle w:val="Legenda"/>
      </w:pPr>
      <w:r w:rsidRPr="00643EAC">
        <w:t xml:space="preserve"> </w:t>
      </w:r>
    </w:p>
    <w:p w:rsidR="00C663DE" w:rsidP="00C663DE" w:rsidRDefault="001E4AB3" w14:paraId="5A49F7A2" w14:textId="2323FAFC">
      <w:pPr>
        <w:pStyle w:val="Legenda"/>
      </w:pPr>
      <w:r>
        <w:rPr>
          <w:noProof/>
          <w:lang w:eastAsia="pl-PL"/>
        </w:rPr>
        <w:drawing>
          <wp:inline distT="0" distB="0" distL="0" distR="0" wp14:anchorId="1B86FC7F" wp14:editId="18A447DF">
            <wp:extent cx="5760720" cy="2667000"/>
            <wp:effectExtent l="0" t="0" r="0" b="0"/>
            <wp:docPr id="10" name="Wykres 10" descr="Wykres prezentujący jak długo istniały stanowiska pracy, które zostały zlikwidowane.">
              <a:extLst xmlns:a="http://schemas.openxmlformats.org/drawingml/2006/main">
                <a:ext uri="{FF2B5EF4-FFF2-40B4-BE49-F238E27FC236}">
                  <a16:creationId xmlns:a16="http://schemas.microsoft.com/office/drawing/2014/main" id="{4F66CFDB-B091-46E7-8C8D-F79C14BF39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E4AB3">
        <w:t xml:space="preserve"> </w:t>
      </w:r>
      <w:r>
        <w:t>Opracowanie własne na podstawie badania CATI/CAWI wśród przedsiębiorstw społecznych przeprowadzonego w ramach II pomiaru. N=25</w:t>
      </w:r>
    </w:p>
    <w:p w:rsidR="00C663DE" w:rsidP="00C663DE" w:rsidRDefault="00C663DE" w14:paraId="62ADE26F" w14:textId="77777777"/>
    <w:p w:rsidR="00945779" w:rsidP="00945779" w:rsidRDefault="00945779" w14:paraId="782CB9C6" w14:textId="77777777">
      <w:pPr>
        <w:pStyle w:val="Nagwek2"/>
      </w:pPr>
      <w:r>
        <w:lastRenderedPageBreak/>
        <w:t xml:space="preserve">Charakterystyka wsparcia </w:t>
      </w:r>
    </w:p>
    <w:p w:rsidR="00C84BA2" w:rsidP="00945779" w:rsidRDefault="00945779" w14:paraId="753B9CFB" w14:textId="5224828D">
      <w:r>
        <w:t xml:space="preserve">W województwie </w:t>
      </w:r>
      <w:r w:rsidR="005C5EB7">
        <w:t>podlaskim</w:t>
      </w:r>
      <w:r>
        <w:t xml:space="preserve"> wspierane przedsiębiorstwa społeczne działają najczęściej w branży </w:t>
      </w:r>
      <w:r w:rsidR="00271A43">
        <w:t>kultura i edukacja</w:t>
      </w:r>
      <w:r w:rsidR="00C84BA2">
        <w:t xml:space="preserve"> (</w:t>
      </w:r>
      <w:r w:rsidR="00271A43">
        <w:t>44</w:t>
      </w:r>
      <w:r>
        <w:t>%). W grupie podmiotów, które zostały objęte analizą istnieje duże zróżnicowanie jeśli chodzi o obszary działalności przedsiębiorstw społecznych wspartych w ramach interwencji. Zauważalne jest, że wspierane były podmioty z branż takich jak</w:t>
      </w:r>
      <w:r w:rsidR="00271A43">
        <w:t xml:space="preserve"> m.in.</w:t>
      </w:r>
      <w:r>
        <w:t xml:space="preserve"> </w:t>
      </w:r>
      <w:r w:rsidR="00C84BA2">
        <w:t>handel pozostałe usługi (</w:t>
      </w:r>
      <w:r w:rsidR="00271A43">
        <w:t>28</w:t>
      </w:r>
      <w:r w:rsidR="00C84BA2">
        <w:t xml:space="preserve">%), </w:t>
      </w:r>
      <w:r w:rsidR="00271A43">
        <w:t>usługi socjalne (24</w:t>
      </w:r>
      <w:r w:rsidR="00C84BA2">
        <w:t>%)</w:t>
      </w:r>
      <w:r w:rsidR="00271A43">
        <w:t xml:space="preserve"> i gastronomia (24%)</w:t>
      </w:r>
      <w:r w:rsidR="00C84BA2">
        <w:t>.</w:t>
      </w:r>
    </w:p>
    <w:p w:rsidRPr="00E71F3E" w:rsidR="001E4AB3" w:rsidP="00945779" w:rsidRDefault="001E4AB3" w14:paraId="376A918F" w14:textId="013B3A5C">
      <w:r>
        <w:rPr>
          <w:noProof/>
          <w:lang w:eastAsia="pl-PL"/>
        </w:rPr>
        <w:drawing>
          <wp:inline distT="0" distB="0" distL="0" distR="0" wp14:anchorId="583A8FCC" wp14:editId="20B41527">
            <wp:extent cx="5760720" cy="3212465"/>
            <wp:effectExtent l="0" t="0" r="0" b="6985"/>
            <wp:docPr id="11" name="Wykres 11" descr="Wykres prezentujący obszary działalności przedsiębiorstw społecznych.">
              <a:extLst xmlns:a="http://schemas.openxmlformats.org/drawingml/2006/main">
                <a:ext uri="{FF2B5EF4-FFF2-40B4-BE49-F238E27FC236}">
                  <a16:creationId xmlns:a16="http://schemas.microsoft.com/office/drawing/2014/main" id="{0F245F45-2852-41A5-B4AE-0D286F1FB6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C23D8" w:rsidP="00BC23D8" w:rsidRDefault="001E4AB3" w14:paraId="0CBCB074" w14:textId="3327F33C">
      <w:pPr>
        <w:pStyle w:val="Legenda"/>
      </w:pPr>
      <w:r>
        <w:t>Opracowanie własne na podstawie badania CATI/CAWI wśród przedsiębiorstw społecznych przeprowadzonego w ramach II pomiaru. N=25</w:t>
      </w:r>
    </w:p>
    <w:p w:rsidR="00945779" w:rsidP="00945779" w:rsidRDefault="00945779" w14:paraId="3521D3D6" w14:textId="0531141D">
      <w:r>
        <w:t>Charakterystyka osób, które zostały zatrudnione na utworzonych w przedsiębiorstwach społecznych miejscach pracy, wyk</w:t>
      </w:r>
      <w:r w:rsidR="00D37387">
        <w:t xml:space="preserve">azuje nadreprezentację </w:t>
      </w:r>
      <w:r w:rsidR="00271A43">
        <w:t>mężczyzn</w:t>
      </w:r>
      <w:r w:rsidR="00D37387">
        <w:t xml:space="preserve"> (</w:t>
      </w:r>
      <w:r w:rsidR="00271A43">
        <w:t>66</w:t>
      </w:r>
      <w:r>
        <w:t>%). Ponadto, analizując strukturę wieku osób zatrudnianych zauważyć można, że najwięcej</w:t>
      </w:r>
      <w:r w:rsidR="00D37387">
        <w:t xml:space="preserve"> osób zatrudniono w wieku 3</w:t>
      </w:r>
      <w:r w:rsidR="00271A43">
        <w:t>6</w:t>
      </w:r>
      <w:r w:rsidR="00D37387">
        <w:t>-45 lat (</w:t>
      </w:r>
      <w:r w:rsidR="00271A43">
        <w:t>50</w:t>
      </w:r>
      <w:r w:rsidR="00D37387">
        <w:t>%).</w:t>
      </w:r>
      <w:r>
        <w:t xml:space="preserve"> Warto zauważyć także niewielki odsetek </w:t>
      </w:r>
      <w:r w:rsidR="00D37387">
        <w:t>osób młodych do 25 roku życia (</w:t>
      </w:r>
      <w:r w:rsidR="00271A43">
        <w:t>5</w:t>
      </w:r>
      <w:r>
        <w:t xml:space="preserve">%) oraz osób </w:t>
      </w:r>
      <w:r w:rsidR="00271A43">
        <w:t>w wieku powyżej 55 roku życia (1</w:t>
      </w:r>
      <w:r>
        <w:t>%). Osoby zatrudniane n</w:t>
      </w:r>
      <w:r w:rsidR="00D37387">
        <w:t>a tworzonych miejscach pracy</w:t>
      </w:r>
      <w:r>
        <w:t xml:space="preserve"> </w:t>
      </w:r>
      <w:r w:rsidR="00271A43">
        <w:t xml:space="preserve">nie </w:t>
      </w:r>
      <w:r>
        <w:t>były</w:t>
      </w:r>
      <w:r w:rsidR="00D37387">
        <w:t xml:space="preserve"> </w:t>
      </w:r>
      <w:r>
        <w:t xml:space="preserve">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5C5EB7">
        <w:t>podlaskim</w:t>
      </w:r>
      <w:r>
        <w:t xml:space="preserve"> osoby z ni</w:t>
      </w:r>
      <w:r w:rsidR="00271A43">
        <w:t>epełnosprawnościami stanowiły 29</w:t>
      </w:r>
      <w:r>
        <w:t xml:space="preserve">% wszystkich pracowników zajmujących stanowiska utworzone w ten sposób. Ponadto, w strukturze osób zatrudnionych na utworzonych miejscach pracy dominują osoby z wykształceniem </w:t>
      </w:r>
      <w:r w:rsidR="00271A43">
        <w:t xml:space="preserve">średnim ogólnokształcącym </w:t>
      </w:r>
      <w:r w:rsidR="00D37387">
        <w:t>(4</w:t>
      </w:r>
      <w:r w:rsidR="00271A43">
        <w:t>7</w:t>
      </w:r>
      <w:r>
        <w:t xml:space="preserve">%). </w:t>
      </w:r>
    </w:p>
    <w:p w:rsidR="00945779" w:rsidP="00945779" w:rsidRDefault="001E4AB3" w14:paraId="2D0F28F0" w14:textId="0DBB907D">
      <w:r w:rsidRPr="001E4AB3">
        <w:rPr>
          <w:noProof/>
          <w:lang w:eastAsia="pl-PL"/>
        </w:rPr>
        <w:lastRenderedPageBreak/>
        <w:t xml:space="preserve">  </w:t>
      </w:r>
      <w:r>
        <w:rPr>
          <w:noProof/>
          <w:lang w:eastAsia="pl-PL"/>
        </w:rPr>
        <w:drawing>
          <wp:inline distT="0" distB="0" distL="0" distR="0" wp14:anchorId="79F7903F" wp14:editId="3AACC8D4">
            <wp:extent cx="2594610" cy="2819400"/>
            <wp:effectExtent l="0" t="0" r="0" b="0"/>
            <wp:docPr id="13" name="Wykres 13" descr="Wykres prezentujący jakiej płci byli pracownicy zajmujący utworzone stanowiska.">
              <a:extLst xmlns:a="http://schemas.openxmlformats.org/drawingml/2006/main">
                <a:ext uri="{FF2B5EF4-FFF2-40B4-BE49-F238E27FC236}">
                  <a16:creationId xmlns:a16="http://schemas.microsoft.com/office/drawing/2014/main" id="{0749DDC6-4049-4713-AC92-157F8C0D1D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1E4AB3">
        <w:rPr>
          <w:noProof/>
          <w:lang w:eastAsia="pl-PL"/>
        </w:rPr>
        <w:t xml:space="preserve"> </w:t>
      </w:r>
      <w:r>
        <w:rPr>
          <w:noProof/>
          <w:lang w:eastAsia="pl-PL"/>
        </w:rPr>
        <w:drawing>
          <wp:inline distT="0" distB="0" distL="0" distR="0" wp14:anchorId="02D0207B" wp14:editId="4D007B0A">
            <wp:extent cx="2895600" cy="2790825"/>
            <wp:effectExtent l="0" t="0" r="0" b="0"/>
            <wp:docPr id="14" name="Wykres 14" descr="Wykres prezentujący w jakim wieku byli pracownicy zajmujący utworzone stanowiska.">
              <a:extLst xmlns:a="http://schemas.openxmlformats.org/drawingml/2006/main">
                <a:ext uri="{FF2B5EF4-FFF2-40B4-BE49-F238E27FC236}">
                  <a16:creationId xmlns:a16="http://schemas.microsoft.com/office/drawing/2014/main" id="{182C74DD-78F4-4DEB-9722-1F6DDBA480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37387" w:rsidP="00945779" w:rsidRDefault="001E4AB3" w14:paraId="1F5B470E" w14:textId="3E96F937">
      <w:pPr>
        <w:rPr>
          <w:noProof/>
          <w:lang w:eastAsia="pl-PL"/>
        </w:rPr>
      </w:pPr>
      <w:r w:rsidRPr="001E4AB3">
        <w:rPr>
          <w:noProof/>
          <w:lang w:eastAsia="pl-PL"/>
        </w:rPr>
        <w:t xml:space="preserve"> </w:t>
      </w:r>
      <w:r>
        <w:rPr>
          <w:noProof/>
          <w:lang w:eastAsia="pl-PL"/>
        </w:rPr>
        <w:drawing>
          <wp:inline distT="0" distB="0" distL="0" distR="0" wp14:anchorId="0846A8BA" wp14:editId="5871B417">
            <wp:extent cx="2790825" cy="2800350"/>
            <wp:effectExtent l="0" t="0" r="0" b="0"/>
            <wp:docPr id="15" name="Wykres 15" descr="Wykres prezentujący jaki status na rynku, posiadali pracownicy zajmujący utworzone stanowiska.">
              <a:extLst xmlns:a="http://schemas.openxmlformats.org/drawingml/2006/main">
                <a:ext uri="{FF2B5EF4-FFF2-40B4-BE49-F238E27FC236}">
                  <a16:creationId xmlns:a16="http://schemas.microsoft.com/office/drawing/2014/main" id="{E40B0761-9AB4-4590-AB4F-B558F5A06E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1E4AB3">
        <w:rPr>
          <w:noProof/>
          <w:lang w:eastAsia="pl-PL"/>
        </w:rPr>
        <w:t xml:space="preserve"> </w:t>
      </w:r>
      <w:r>
        <w:rPr>
          <w:noProof/>
          <w:lang w:eastAsia="pl-PL"/>
        </w:rPr>
        <w:drawing>
          <wp:inline distT="0" distB="0" distL="0" distR="0" wp14:anchorId="31869AC0" wp14:editId="7D2A8C3E">
            <wp:extent cx="2609850" cy="2842895"/>
            <wp:effectExtent l="0" t="0" r="0" b="0"/>
            <wp:docPr id="16" name="Wykres 16"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F5DFB553-7E9E-49DF-A27D-8AC00C8FCD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E4AB3" w:rsidP="00945779" w:rsidRDefault="001E4AB3" w14:paraId="40E38F5E" w14:textId="500C3CC5">
      <w:r>
        <w:rPr>
          <w:noProof/>
          <w:lang w:eastAsia="pl-PL"/>
        </w:rPr>
        <w:drawing>
          <wp:inline distT="0" distB="0" distL="0" distR="0" wp14:anchorId="00842F4E" wp14:editId="62BA0B55">
            <wp:extent cx="5676900" cy="2006930"/>
            <wp:effectExtent l="0" t="0" r="0" b="0"/>
            <wp:docPr id="17" name="Wykres 17" descr="Wykres prezentujący jakie wykształcenie posiadali pracownicy zajmujący utworzone stanowiska.">
              <a:extLst xmlns:a="http://schemas.openxmlformats.org/drawingml/2006/main">
                <a:ext uri="{FF2B5EF4-FFF2-40B4-BE49-F238E27FC236}">
                  <a16:creationId xmlns:a16="http://schemas.microsoft.com/office/drawing/2014/main" id="{CEBA5C14-58A7-4F9A-84F7-E9877FB9A9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C23D8" w:rsidP="00BC23D8" w:rsidRDefault="00BC23D8" w14:paraId="7280F241" w14:textId="24DD2F3C">
      <w:pPr>
        <w:pStyle w:val="Legenda"/>
      </w:pPr>
      <w:r w:rsidRPr="00BC23D8">
        <w:t xml:space="preserve"> </w:t>
      </w:r>
      <w:r w:rsidR="001E4AB3">
        <w:t>Opracowanie własne na podstawie badania CATI/CAWI wśród przedsiębiorstw społecznych przeprowadzonego w ramach II pomiaru. N=25</w:t>
      </w:r>
    </w:p>
    <w:p w:rsidR="00945779" w:rsidP="00945779" w:rsidRDefault="00945779" w14:paraId="39A2513C" w14:textId="0EB14D1F">
      <w:r>
        <w:lastRenderedPageBreak/>
        <w:t xml:space="preserve">Analizując strukturę demograficzną osób zatrudnionych na utworzonych miejscach pracy zauważyć można relatywnie duże zróżnicowanie. W przypadku interwencji realizowanej w ramach RPO Województwa </w:t>
      </w:r>
      <w:r w:rsidR="005C5EB7">
        <w:t>Podlaskiego</w:t>
      </w:r>
      <w:r>
        <w:t xml:space="preserve"> można zauważyć, że najczęściej występującym problemem, który utrudniał znalezienie pracy osobom, które zostały zatrudnione na powstałych w ramach interwencji miejscach pracy b</w:t>
      </w:r>
      <w:r w:rsidR="00271A43">
        <w:t>yło długotrwałe bezrobocie (6</w:t>
      </w:r>
      <w:r w:rsidR="00392ED0">
        <w:t>4</w:t>
      </w:r>
      <w:r w:rsidR="00271A43">
        <w:t xml:space="preserve">%). </w:t>
      </w:r>
      <w:r>
        <w:t xml:space="preserve">Zauważyć zatem można, że wsparcie zostało do osób, które przede wszystkim samodzielnie miały problem ze znalezieniem zatrudnienia. Inne problemy, które stanowią bariery na rynku pracy występowały </w:t>
      </w:r>
      <w:r w:rsidR="00271A43">
        <w:t>zdecydowanie rzadziej</w:t>
      </w:r>
      <w:r>
        <w:t xml:space="preserve">. Interwencja w postaci wsparcia na rzecz tworzenia nowych miejsc pracy w przedsiębiorstwach społecznych stanowi zatem istotne narzędzie aktywizacji zawodowej. </w:t>
      </w:r>
    </w:p>
    <w:p w:rsidR="001E4AB3" w:rsidP="00945779" w:rsidRDefault="001E4AB3" w14:paraId="784B1514" w14:textId="648CF99B">
      <w:r>
        <w:rPr>
          <w:noProof/>
          <w:lang w:eastAsia="pl-PL"/>
        </w:rPr>
        <w:drawing>
          <wp:inline distT="0" distB="0" distL="0" distR="0" wp14:anchorId="0F50A27A" wp14:editId="4691603F">
            <wp:extent cx="5734050" cy="3086100"/>
            <wp:effectExtent l="0" t="0" r="0" b="0"/>
            <wp:docPr id="18" name="Wykres 18"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F3D005A2-C441-4118-A17D-CF849B7391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C23D8" w:rsidP="00BC23D8" w:rsidRDefault="00BC23D8" w14:paraId="4C4718D3" w14:textId="7BF41C8F">
      <w:pPr>
        <w:pStyle w:val="Legenda"/>
      </w:pPr>
      <w:r w:rsidRPr="00BC23D8">
        <w:t xml:space="preserve"> </w:t>
      </w:r>
      <w:r w:rsidR="001E4AB3">
        <w:t>Opracowanie własne na podstawie badania CATI/CAWI wśród przedsiębiorstw społecznych przeprowadzonego w ramach II pomiaru. N=25</w:t>
      </w:r>
    </w:p>
    <w:p w:rsidR="005C5EB7" w:rsidP="005C5EB7" w:rsidRDefault="005C5EB7" w14:paraId="506CAB42" w14:textId="77777777">
      <w:pPr>
        <w:pStyle w:val="Nagwek2"/>
        <w:rPr>
          <w:b/>
          <w:bCs/>
          <w:color w:val="auto"/>
        </w:rPr>
      </w:pPr>
      <w:bookmarkStart w:name="_Hlk93924604" w:id="1"/>
      <w:r w:rsidRPr="003E065D">
        <w:rPr>
          <w:b/>
          <w:bCs/>
          <w:color w:val="auto"/>
        </w:rPr>
        <w:t xml:space="preserve">Wnioski </w:t>
      </w:r>
    </w:p>
    <w:p w:rsidR="005C5EB7" w:rsidP="005C5EB7" w:rsidRDefault="00271A43" w14:paraId="73F2E907" w14:textId="77717A28">
      <w:r>
        <w:t xml:space="preserve">W przypadku RPO </w:t>
      </w:r>
      <w:r w:rsidR="00D629F8">
        <w:t xml:space="preserve"> Województwa </w:t>
      </w:r>
      <w:r w:rsidR="00060D89">
        <w:t xml:space="preserve">Podlaskiego </w:t>
      </w:r>
      <w:r w:rsidR="00D629F8">
        <w:t xml:space="preserve">w </w:t>
      </w:r>
      <w:r>
        <w:t>2020</w:t>
      </w:r>
      <w:r w:rsidR="00D629F8">
        <w:t xml:space="preserve"> roku</w:t>
      </w:r>
      <w:r>
        <w:t xml:space="preserve"> osiągnięto zakładaną wartość wskaźnika rezultatu długoterminowego. Nie zidentyfikowano ryzyka, że wartość wskaźnika byłaby znacząco niższa gdyby pomiarem objąć miejsca pracy utworzone po 2020 roku, dla których nie zakończył się jeszcze okres trwałości. W ramach przeprowadzonych pomiarów</w:t>
      </w:r>
      <w:r w:rsidR="005C5EB7">
        <w:t xml:space="preserve"> zidentyfikowano przeżywalność miejsc pracy na poziomie </w:t>
      </w:r>
      <w:r>
        <w:t>74</w:t>
      </w:r>
      <w:r w:rsidR="005C5EB7">
        <w:t xml:space="preserve">%. W stosunku do zakładanych </w:t>
      </w:r>
      <w:r>
        <w:t>3</w:t>
      </w:r>
      <w:r w:rsidR="008B168A">
        <w:t>0</w:t>
      </w:r>
      <w:r w:rsidR="005C5EB7">
        <w:t xml:space="preserve">% jest to wartość znacznie większa, co wskazuje na to, że podejmowane działania skutecznie przyczyniają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w:t>
      </w:r>
      <w:r w:rsidR="005C5EB7">
        <w:lastRenderedPageBreak/>
        <w:t xml:space="preserve">zakresie tworzenia miejsc pracy w przypadku województwa podlaskiego stanowiło przede wszystkim narzędzie aktywizacji zawodowej – najczęściej występującym problemem, który stanowił barierę dla osób zatrudnianych na utworzonych miejscach pracy było długotrwałe bezrobocie. </w:t>
      </w:r>
    </w:p>
    <w:bookmarkEnd w:id="1"/>
    <w:p w:rsidR="005C5EB7" w:rsidRDefault="005C5EB7" w14:paraId="6917C851" w14:textId="77777777"/>
    <w:sectPr w:rsidR="005C5EB7">
      <w:headerReference w:type="default" r:id="rId20"/>
      <w:footerReference w:type="default" r:id="rId2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42B1" w:rsidP="00BC23D8" w:rsidRDefault="001042B1" w14:paraId="7B9190F0" w14:textId="77777777">
      <w:pPr>
        <w:spacing w:after="0" w:line="240" w:lineRule="auto"/>
      </w:pPr>
      <w:r>
        <w:separator/>
      </w:r>
    </w:p>
  </w:endnote>
  <w:endnote w:type="continuationSeparator" w:id="0">
    <w:p w:rsidR="001042B1" w:rsidP="00BC23D8" w:rsidRDefault="001042B1" w14:paraId="29D99F2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65673"/>
      <w:docPartObj>
        <w:docPartGallery w:val="Page Numbers (Bottom of Page)"/>
        <w:docPartUnique/>
      </w:docPartObj>
    </w:sdtPr>
    <w:sdtEndPr/>
    <w:sdtContent>
      <w:p w:rsidR="00BC23D8" w:rsidRDefault="00BC23D8" w14:paraId="7714CCBC" w14:textId="2170C090">
        <w:pPr>
          <w:pStyle w:val="Stopka"/>
          <w:jc w:val="center"/>
        </w:pPr>
        <w:r>
          <w:fldChar w:fldCharType="begin"/>
        </w:r>
        <w:r>
          <w:instrText>PAGE   \* MERGEFORMAT</w:instrText>
        </w:r>
        <w:r>
          <w:fldChar w:fldCharType="separate"/>
        </w:r>
        <w:r w:rsidR="00992630">
          <w:rPr>
            <w:noProof/>
          </w:rPr>
          <w:t>8</w:t>
        </w:r>
        <w:r>
          <w:fldChar w:fldCharType="end"/>
        </w:r>
      </w:p>
    </w:sdtContent>
  </w:sdt>
  <w:p w:rsidR="00BC23D8" w:rsidRDefault="00BC23D8" w14:paraId="4B9229AE"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42B1" w:rsidP="00BC23D8" w:rsidRDefault="001042B1" w14:paraId="3E31956C" w14:textId="77777777">
      <w:pPr>
        <w:spacing w:after="0" w:line="240" w:lineRule="auto"/>
      </w:pPr>
      <w:r>
        <w:separator/>
      </w:r>
    </w:p>
  </w:footnote>
  <w:footnote w:type="continuationSeparator" w:id="0">
    <w:p w:rsidR="001042B1" w:rsidP="00BC23D8" w:rsidRDefault="001042B1" w14:paraId="605F3B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E20CF" w:rsidRDefault="00813B7A" w14:paraId="0A8BA05B" w14:textId="38735657">
    <w:pPr>
      <w:pStyle w:val="Nagwek"/>
    </w:pPr>
    <w:r>
      <w:rPr>
        <w:noProof/>
      </w:rPr>
      <w:drawing>
        <wp:inline distT="0" distB="0" distL="0" distR="0" wp14:anchorId="3BC41468" wp14:editId="5C72A493">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72204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3DE"/>
    <w:rsid w:val="00003713"/>
    <w:rsid w:val="00026023"/>
    <w:rsid w:val="00060D89"/>
    <w:rsid w:val="001042B1"/>
    <w:rsid w:val="0012063F"/>
    <w:rsid w:val="00162C60"/>
    <w:rsid w:val="00163FEB"/>
    <w:rsid w:val="001843C1"/>
    <w:rsid w:val="001D3693"/>
    <w:rsid w:val="001E4AB3"/>
    <w:rsid w:val="00271A43"/>
    <w:rsid w:val="002E20CF"/>
    <w:rsid w:val="0032206B"/>
    <w:rsid w:val="00374868"/>
    <w:rsid w:val="00392ED0"/>
    <w:rsid w:val="003E0C44"/>
    <w:rsid w:val="003F435F"/>
    <w:rsid w:val="00547E1C"/>
    <w:rsid w:val="00571CC6"/>
    <w:rsid w:val="005C5EB7"/>
    <w:rsid w:val="00644773"/>
    <w:rsid w:val="00707136"/>
    <w:rsid w:val="00730618"/>
    <w:rsid w:val="00792279"/>
    <w:rsid w:val="007A3965"/>
    <w:rsid w:val="007D245B"/>
    <w:rsid w:val="00805D59"/>
    <w:rsid w:val="00813B7A"/>
    <w:rsid w:val="00896705"/>
    <w:rsid w:val="008B168A"/>
    <w:rsid w:val="008C5666"/>
    <w:rsid w:val="00944BCC"/>
    <w:rsid w:val="00945779"/>
    <w:rsid w:val="009636DC"/>
    <w:rsid w:val="00992630"/>
    <w:rsid w:val="00AE6091"/>
    <w:rsid w:val="00B113E3"/>
    <w:rsid w:val="00B74395"/>
    <w:rsid w:val="00BA47CC"/>
    <w:rsid w:val="00BC23D8"/>
    <w:rsid w:val="00BD76A9"/>
    <w:rsid w:val="00BE68D3"/>
    <w:rsid w:val="00BF2BE3"/>
    <w:rsid w:val="00C143A4"/>
    <w:rsid w:val="00C2240C"/>
    <w:rsid w:val="00C32CD8"/>
    <w:rsid w:val="00C54872"/>
    <w:rsid w:val="00C663DE"/>
    <w:rsid w:val="00C84BA2"/>
    <w:rsid w:val="00CE7FFA"/>
    <w:rsid w:val="00CF1B65"/>
    <w:rsid w:val="00D37387"/>
    <w:rsid w:val="00D629F8"/>
    <w:rsid w:val="00D74C10"/>
    <w:rsid w:val="00DC3AC2"/>
    <w:rsid w:val="00DD7493"/>
    <w:rsid w:val="00E666E4"/>
    <w:rsid w:val="00E819D4"/>
    <w:rsid w:val="00F0792A"/>
    <w:rsid w:val="00F334B3"/>
    <w:rsid w:val="7812C8FF"/>
    <w:rsid w:val="7D72DE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1FFD2"/>
  <w15:chartTrackingRefBased/>
  <w15:docId w15:val="{B89AB003-D85B-466E-983F-38634C6D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C663DE"/>
    <w:pPr>
      <w:spacing w:line="276" w:lineRule="auto"/>
    </w:pPr>
    <w:rPr>
      <w:rFonts w:eastAsiaTheme="minorEastAsia"/>
      <w:sz w:val="24"/>
    </w:rPr>
  </w:style>
  <w:style w:type="paragraph" w:styleId="Nagwek1">
    <w:name w:val="heading 1"/>
    <w:basedOn w:val="Normalny"/>
    <w:next w:val="Normalny"/>
    <w:link w:val="Nagwek1Znak"/>
    <w:uiPriority w:val="9"/>
    <w:qFormat/>
    <w:rsid w:val="00C663DE"/>
    <w:pPr>
      <w:keepNext/>
      <w:keepLines/>
      <w:numPr>
        <w:numId w:val="1"/>
      </w:numPr>
      <w:pBdr>
        <w:bottom w:val="single" w:color="595959" w:themeColor="text1" w:themeTint="A6" w:sz="4" w:space="1"/>
      </w:pBdr>
      <w:spacing w:before="360"/>
      <w:outlineLvl w:val="0"/>
    </w:pPr>
    <w:rPr>
      <w:rFonts w:asciiTheme="majorHAnsi" w:hAnsiTheme="majorHAnsi" w:eastAsiaTheme="majorEastAsia"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945779"/>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C663DE"/>
    <w:pPr>
      <w:keepNext/>
      <w:keepLines/>
      <w:spacing w:before="200" w:after="120"/>
      <w:ind w:left="720" w:hanging="720"/>
      <w:outlineLvl w:val="2"/>
    </w:pPr>
    <w:rPr>
      <w:rFonts w:asciiTheme="majorHAnsi" w:hAnsiTheme="majorHAnsi" w:eastAsiaTheme="majorEastAsia" w:cstheme="majorBidi"/>
      <w:b/>
      <w:bCs/>
      <w:color w:val="000000" w:themeColor="text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C663DE"/>
    <w:rPr>
      <w:rFonts w:asciiTheme="majorHAnsi" w:hAnsiTheme="majorHAnsi" w:eastAsiaTheme="majorEastAsia" w:cstheme="majorBidi"/>
      <w:b/>
      <w:bCs/>
      <w:smallCaps/>
      <w:color w:val="000000" w:themeColor="text1"/>
      <w:sz w:val="36"/>
      <w:szCs w:val="36"/>
    </w:rPr>
  </w:style>
  <w:style w:type="character" w:styleId="Nagwek3Znak" w:customStyle="1">
    <w:name w:val="Nagłówek 3 Znak"/>
    <w:basedOn w:val="Domylnaczcionkaakapitu"/>
    <w:link w:val="Nagwek3"/>
    <w:uiPriority w:val="9"/>
    <w:rsid w:val="00C663DE"/>
    <w:rPr>
      <w:rFonts w:asciiTheme="majorHAnsi" w:hAnsiTheme="majorHAnsi" w:eastAsiaTheme="majorEastAsia" w:cstheme="majorBidi"/>
      <w:b/>
      <w:bCs/>
      <w:color w:val="000000" w:themeColor="text1"/>
      <w:sz w:val="24"/>
    </w:rPr>
  </w:style>
  <w:style w:type="paragraph" w:styleId="Legenda">
    <w:name w:val="caption"/>
    <w:basedOn w:val="Normalny"/>
    <w:next w:val="Normalny"/>
    <w:uiPriority w:val="35"/>
    <w:unhideWhenUsed/>
    <w:qFormat/>
    <w:rsid w:val="00C663DE"/>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C663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gwek2Znak" w:customStyle="1">
    <w:name w:val="Nagłówek 2 Znak"/>
    <w:basedOn w:val="Domylnaczcionkaakapitu"/>
    <w:link w:val="Nagwek2"/>
    <w:uiPriority w:val="9"/>
    <w:rsid w:val="00945779"/>
    <w:rPr>
      <w:rFonts w:asciiTheme="majorHAnsi" w:hAnsiTheme="majorHAnsi" w:eastAsiaTheme="majorEastAsia"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5C5EB7"/>
    <w:rPr>
      <w:sz w:val="16"/>
      <w:szCs w:val="16"/>
    </w:rPr>
  </w:style>
  <w:style w:type="paragraph" w:styleId="Tekstkomentarza">
    <w:name w:val="annotation text"/>
    <w:basedOn w:val="Normalny"/>
    <w:link w:val="TekstkomentarzaZnak"/>
    <w:uiPriority w:val="99"/>
    <w:semiHidden/>
    <w:unhideWhenUsed/>
    <w:rsid w:val="005C5EB7"/>
    <w:pPr>
      <w:spacing w:line="240" w:lineRule="auto"/>
    </w:pPr>
    <w:rPr>
      <w:sz w:val="20"/>
      <w:szCs w:val="20"/>
    </w:rPr>
  </w:style>
  <w:style w:type="character" w:styleId="TekstkomentarzaZnak" w:customStyle="1">
    <w:name w:val="Tekst komentarza Znak"/>
    <w:basedOn w:val="Domylnaczcionkaakapitu"/>
    <w:link w:val="Tekstkomentarza"/>
    <w:uiPriority w:val="99"/>
    <w:semiHidden/>
    <w:rsid w:val="005C5EB7"/>
    <w:rPr>
      <w:rFonts w:eastAsiaTheme="minorEastAsia"/>
      <w:sz w:val="20"/>
      <w:szCs w:val="20"/>
    </w:rPr>
  </w:style>
  <w:style w:type="paragraph" w:styleId="Nagwek">
    <w:name w:val="header"/>
    <w:basedOn w:val="Normalny"/>
    <w:link w:val="NagwekZnak"/>
    <w:uiPriority w:val="99"/>
    <w:unhideWhenUsed/>
    <w:rsid w:val="00BC23D8"/>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BC23D8"/>
    <w:rPr>
      <w:rFonts w:eastAsiaTheme="minorEastAsia"/>
      <w:sz w:val="24"/>
    </w:rPr>
  </w:style>
  <w:style w:type="paragraph" w:styleId="Stopka">
    <w:name w:val="footer"/>
    <w:basedOn w:val="Normalny"/>
    <w:link w:val="StopkaZnak"/>
    <w:uiPriority w:val="99"/>
    <w:unhideWhenUsed/>
    <w:rsid w:val="00BC23D8"/>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BC23D8"/>
    <w:rPr>
      <w:rFonts w:eastAsiaTheme="minorEastAsia"/>
      <w:sz w:val="24"/>
    </w:rPr>
  </w:style>
  <w:style w:type="paragraph" w:styleId="Poprawka">
    <w:name w:val="Revision"/>
    <w:hidden/>
    <w:uiPriority w:val="99"/>
    <w:semiHidden/>
    <w:rsid w:val="00060D89"/>
    <w:pPr>
      <w:spacing w:after="0" w:line="240" w:lineRule="auto"/>
    </w:pPr>
    <w:rPr>
      <w:rFonts w:eastAsiaTheme="minorEastAsia"/>
      <w:sz w:val="24"/>
    </w:rPr>
  </w:style>
  <w:style w:type="paragraph" w:styleId="Tematkomentarza">
    <w:name w:val="annotation subject"/>
    <w:basedOn w:val="Tekstkomentarza"/>
    <w:next w:val="Tekstkomentarza"/>
    <w:link w:val="TematkomentarzaZnak"/>
    <w:uiPriority w:val="99"/>
    <w:semiHidden/>
    <w:unhideWhenUsed/>
    <w:rsid w:val="00D629F8"/>
    <w:rPr>
      <w:b/>
      <w:bCs/>
    </w:rPr>
  </w:style>
  <w:style w:type="character" w:styleId="TematkomentarzaZnak" w:customStyle="1">
    <w:name w:val="Temat komentarza Znak"/>
    <w:basedOn w:val="TekstkomentarzaZnak"/>
    <w:link w:val="Tematkomentarza"/>
    <w:uiPriority w:val="99"/>
    <w:semiHidden/>
    <w:rsid w:val="00D629F8"/>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hart" Target="charts/chart4.xml" Id="rId13" /><Relationship Type="http://schemas.openxmlformats.org/officeDocument/2006/relationships/chart" Target="charts/chart9.xm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webSettings" Target="webSettings.xml" Id="rId7" /><Relationship Type="http://schemas.openxmlformats.org/officeDocument/2006/relationships/chart" Target="charts/chart3.xml" Id="rId12" /><Relationship Type="http://schemas.openxmlformats.org/officeDocument/2006/relationships/chart" Target="charts/chart8.xml" Id="rId17" /><Relationship Type="http://schemas.openxmlformats.org/officeDocument/2006/relationships/customXml" Target="../customXml/item2.xml" Id="rId2" /><Relationship Type="http://schemas.openxmlformats.org/officeDocument/2006/relationships/chart" Target="charts/chart7.xm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chart" Target="charts/chart2.xml" Id="rId11" /><Relationship Type="http://schemas.openxmlformats.org/officeDocument/2006/relationships/styles" Target="styles.xml" Id="rId5" /><Relationship Type="http://schemas.openxmlformats.org/officeDocument/2006/relationships/chart" Target="charts/chart6.xml" Id="rId15" /><Relationship Type="http://schemas.openxmlformats.org/officeDocument/2006/relationships/theme" Target="theme/theme1.xml" Id="rId23" /><Relationship Type="http://schemas.openxmlformats.org/officeDocument/2006/relationships/chart" Target="charts/chart1.xml" Id="rId10" /><Relationship Type="http://schemas.openxmlformats.org/officeDocument/2006/relationships/chart" Target="charts/chart10.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hart" Target="charts/chart5.xml" Id="rId14" /><Relationship Type="http://schemas.openxmlformats.org/officeDocument/2006/relationships/fontTable" Target="fontTable.xml" Id="rId22" /><Relationship Type="http://schemas.openxmlformats.org/officeDocument/2006/relationships/glossaryDocument" Target="glossary/document.xml" Id="R621f700dd623458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podlaskie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WARTOSCI'!$A$35:$A$37</c:f>
              <c:strCache>
                <c:ptCount val="3"/>
                <c:pt idx="0">
                  <c:v>Białostocki Ośrodek Wsparcia Ekonomii Społecznej</c:v>
                </c:pt>
                <c:pt idx="1">
                  <c:v>Podlaskie Centrum Wspierania Ekonomii Społecznej</c:v>
                </c:pt>
                <c:pt idx="2">
                  <c:v>Rozwój Ekonomii Społecznej</c:v>
                </c:pt>
              </c:strCache>
            </c:strRef>
          </c:cat>
          <c:val>
            <c:numRef>
              <c:f>'WG OWES WARTOSCI'!$D$35:$D$37</c:f>
              <c:numCache>
                <c:formatCode>0%</c:formatCode>
                <c:ptCount val="3"/>
                <c:pt idx="0">
                  <c:v>0.64102564102564108</c:v>
                </c:pt>
                <c:pt idx="1">
                  <c:v>0.69230769230769229</c:v>
                </c:pt>
                <c:pt idx="2">
                  <c:v>0.84210526315789469</c:v>
                </c:pt>
              </c:numCache>
            </c:numRef>
          </c:val>
          <c:extLst>
            <c:ext xmlns:c16="http://schemas.microsoft.com/office/drawing/2014/chart" uri="{C3380CC4-5D6E-409C-BE32-E72D297353CC}">
              <c16:uniqueId val="{00000000-FD08-4487-AA9C-9D387F0B4A04}"/>
            </c:ext>
          </c:extLst>
        </c:ser>
        <c:dLbls>
          <c:showLegendKey val="0"/>
          <c:showVal val="1"/>
          <c:showCatName val="0"/>
          <c:showSerName val="0"/>
          <c:showPercent val="0"/>
          <c:showBubbleSize val="0"/>
        </c:dLbls>
        <c:gapWidth val="150"/>
        <c:overlap val="-25"/>
        <c:axId val="530898528"/>
        <c:axId val="530895784"/>
      </c:barChart>
      <c:catAx>
        <c:axId val="530898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0895784"/>
        <c:crosses val="autoZero"/>
        <c:auto val="1"/>
        <c:lblAlgn val="ctr"/>
        <c:lblOffset val="100"/>
        <c:noMultiLvlLbl val="0"/>
      </c:catAx>
      <c:valAx>
        <c:axId val="530895784"/>
        <c:scaling>
          <c:orientation val="minMax"/>
        </c:scaling>
        <c:delete val="1"/>
        <c:axPos val="l"/>
        <c:numFmt formatCode="0%" sourceLinked="1"/>
        <c:majorTickMark val="out"/>
        <c:minorTickMark val="none"/>
        <c:tickLblPos val="nextTo"/>
        <c:crossAx val="53089852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bariery!$B$29</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bariery!$C$29:$N$29</c:f>
              <c:numCache>
                <c:formatCode>0%</c:formatCode>
                <c:ptCount val="12"/>
                <c:pt idx="0">
                  <c:v>0.28000000000000003</c:v>
                </c:pt>
                <c:pt idx="1">
                  <c:v>0.2</c:v>
                </c:pt>
                <c:pt idx="2">
                  <c:v>0.08</c:v>
                </c:pt>
                <c:pt idx="3">
                  <c:v>0.16</c:v>
                </c:pt>
                <c:pt idx="4">
                  <c:v>0</c:v>
                </c:pt>
                <c:pt idx="5">
                  <c:v>0.08</c:v>
                </c:pt>
                <c:pt idx="6">
                  <c:v>0</c:v>
                </c:pt>
                <c:pt idx="7">
                  <c:v>0.64</c:v>
                </c:pt>
                <c:pt idx="8">
                  <c:v>0.08</c:v>
                </c:pt>
                <c:pt idx="9">
                  <c:v>0</c:v>
                </c:pt>
                <c:pt idx="10">
                  <c:v>0</c:v>
                </c:pt>
                <c:pt idx="11">
                  <c:v>0</c:v>
                </c:pt>
              </c:numCache>
            </c:numRef>
          </c:val>
          <c:extLst>
            <c:ext xmlns:c16="http://schemas.microsoft.com/office/drawing/2014/chart" uri="{C3380CC4-5D6E-409C-BE32-E72D297353CC}">
              <c16:uniqueId val="{00000000-6188-4AF8-98AE-48891801E07F}"/>
            </c:ext>
          </c:extLst>
        </c:ser>
        <c:dLbls>
          <c:showLegendKey val="0"/>
          <c:showVal val="1"/>
          <c:showCatName val="0"/>
          <c:showSerName val="0"/>
          <c:showPercent val="0"/>
          <c:showBubbleSize val="0"/>
        </c:dLbls>
        <c:gapWidth val="150"/>
        <c:overlap val="-25"/>
        <c:axId val="575587944"/>
        <c:axId val="575589512"/>
      </c:barChart>
      <c:catAx>
        <c:axId val="57558794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589512"/>
        <c:crosses val="autoZero"/>
        <c:auto val="1"/>
        <c:lblAlgn val="ctr"/>
        <c:lblOffset val="100"/>
        <c:noMultiLvlLbl val="0"/>
      </c:catAx>
      <c:valAx>
        <c:axId val="575589512"/>
        <c:scaling>
          <c:orientation val="minMax"/>
        </c:scaling>
        <c:delete val="1"/>
        <c:axPos val="t"/>
        <c:numFmt formatCode="0%" sourceLinked="1"/>
        <c:majorTickMark val="none"/>
        <c:minorTickMark val="none"/>
        <c:tickLblPos val="nextTo"/>
        <c:crossAx val="5755879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podlaskie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owes!$A$41:$A$43</c:f>
              <c:strCache>
                <c:ptCount val="3"/>
                <c:pt idx="0">
                  <c:v>Białostocki Ośrodek Wsaprcia Ekonomii Społecznej</c:v>
                </c:pt>
                <c:pt idx="1">
                  <c:v>Rozwój Ekonomii Społecznej</c:v>
                </c:pt>
                <c:pt idx="2">
                  <c:v>Wzmocnienie roli ekonomii społecznej w Subregionie Bielskim</c:v>
                </c:pt>
              </c:strCache>
            </c:strRef>
          </c:cat>
          <c:val>
            <c:numRef>
              <c:f>owes!$D$41:$D$43</c:f>
              <c:numCache>
                <c:formatCode>0%</c:formatCode>
                <c:ptCount val="3"/>
                <c:pt idx="0">
                  <c:v>0.6785714285714286</c:v>
                </c:pt>
                <c:pt idx="1">
                  <c:v>0.76315789473684215</c:v>
                </c:pt>
                <c:pt idx="2">
                  <c:v>0.91111111111111109</c:v>
                </c:pt>
              </c:numCache>
            </c:numRef>
          </c:val>
          <c:extLst>
            <c:ext xmlns:c16="http://schemas.microsoft.com/office/drawing/2014/chart" uri="{C3380CC4-5D6E-409C-BE32-E72D297353CC}">
              <c16:uniqueId val="{00000000-8B01-42EF-8D0F-795B35FAABFF}"/>
            </c:ext>
          </c:extLst>
        </c:ser>
        <c:dLbls>
          <c:showLegendKey val="0"/>
          <c:showVal val="1"/>
          <c:showCatName val="0"/>
          <c:showSerName val="0"/>
          <c:showPercent val="0"/>
          <c:showBubbleSize val="0"/>
        </c:dLbls>
        <c:gapWidth val="150"/>
        <c:overlap val="-25"/>
        <c:axId val="530897744"/>
        <c:axId val="527752400"/>
      </c:barChart>
      <c:catAx>
        <c:axId val="530897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7752400"/>
        <c:crosses val="autoZero"/>
        <c:auto val="1"/>
        <c:lblAlgn val="ctr"/>
        <c:lblOffset val="100"/>
        <c:noMultiLvlLbl val="0"/>
      </c:catAx>
      <c:valAx>
        <c:axId val="527752400"/>
        <c:scaling>
          <c:orientation val="minMax"/>
        </c:scaling>
        <c:delete val="1"/>
        <c:axPos val="l"/>
        <c:numFmt formatCode="0%" sourceLinked="1"/>
        <c:majorTickMark val="none"/>
        <c:minorTickMark val="none"/>
        <c:tickLblPos val="nextTo"/>
        <c:crossAx val="5308977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podlaskie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likwidowane!$B$14</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likwidowane!$C$14:$G$14</c:f>
              <c:numCache>
                <c:formatCode>0%</c:formatCode>
                <c:ptCount val="5"/>
                <c:pt idx="0">
                  <c:v>0</c:v>
                </c:pt>
                <c:pt idx="1">
                  <c:v>0</c:v>
                </c:pt>
                <c:pt idx="2">
                  <c:v>0.52380952380952384</c:v>
                </c:pt>
                <c:pt idx="3">
                  <c:v>0.47619047619047616</c:v>
                </c:pt>
                <c:pt idx="4">
                  <c:v>0</c:v>
                </c:pt>
              </c:numCache>
            </c:numRef>
          </c:val>
          <c:extLst>
            <c:ext xmlns:c16="http://schemas.microsoft.com/office/drawing/2014/chart" uri="{C3380CC4-5D6E-409C-BE32-E72D297353CC}">
              <c16:uniqueId val="{00000000-3316-42F9-8A4C-08A9835B1C70}"/>
            </c:ext>
          </c:extLst>
        </c:ser>
        <c:dLbls>
          <c:showLegendKey val="0"/>
          <c:showVal val="1"/>
          <c:showCatName val="0"/>
          <c:showSerName val="0"/>
          <c:showPercent val="0"/>
          <c:showBubbleSize val="0"/>
        </c:dLbls>
        <c:gapWidth val="150"/>
        <c:overlap val="-25"/>
        <c:axId val="389834480"/>
        <c:axId val="530952592"/>
      </c:barChart>
      <c:catAx>
        <c:axId val="389834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0952592"/>
        <c:crosses val="autoZero"/>
        <c:auto val="1"/>
        <c:lblAlgn val="ctr"/>
        <c:lblOffset val="100"/>
        <c:noMultiLvlLbl val="0"/>
      </c:catAx>
      <c:valAx>
        <c:axId val="530952592"/>
        <c:scaling>
          <c:orientation val="minMax"/>
        </c:scaling>
        <c:delete val="1"/>
        <c:axPos val="l"/>
        <c:numFmt formatCode="0%" sourceLinked="1"/>
        <c:majorTickMark val="none"/>
        <c:minorTickMark val="none"/>
        <c:tickLblPos val="nextTo"/>
        <c:crossAx val="38983448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podlaskie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branze!$L$23</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branze!$L$24:$L$40</c:f>
              <c:numCache>
                <c:formatCode>0%</c:formatCode>
                <c:ptCount val="17"/>
                <c:pt idx="0">
                  <c:v>0.44</c:v>
                </c:pt>
                <c:pt idx="1">
                  <c:v>0.24</c:v>
                </c:pt>
                <c:pt idx="2">
                  <c:v>0.16</c:v>
                </c:pt>
                <c:pt idx="3">
                  <c:v>0.28000000000000003</c:v>
                </c:pt>
                <c:pt idx="4">
                  <c:v>0.12</c:v>
                </c:pt>
                <c:pt idx="5">
                  <c:v>0.16</c:v>
                </c:pt>
                <c:pt idx="6">
                  <c:v>0.24</c:v>
                </c:pt>
                <c:pt idx="7">
                  <c:v>0</c:v>
                </c:pt>
                <c:pt idx="8">
                  <c:v>0</c:v>
                </c:pt>
                <c:pt idx="9">
                  <c:v>0</c:v>
                </c:pt>
                <c:pt idx="10">
                  <c:v>0.08</c:v>
                </c:pt>
                <c:pt idx="11">
                  <c:v>0</c:v>
                </c:pt>
                <c:pt idx="12">
                  <c:v>0</c:v>
                </c:pt>
                <c:pt idx="13">
                  <c:v>0</c:v>
                </c:pt>
                <c:pt idx="14">
                  <c:v>0</c:v>
                </c:pt>
                <c:pt idx="15">
                  <c:v>0</c:v>
                </c:pt>
                <c:pt idx="16">
                  <c:v>0</c:v>
                </c:pt>
              </c:numCache>
            </c:numRef>
          </c:val>
          <c:extLst>
            <c:ext xmlns:c16="http://schemas.microsoft.com/office/drawing/2014/chart" uri="{C3380CC4-5D6E-409C-BE32-E72D297353CC}">
              <c16:uniqueId val="{00000000-D92E-4EE8-A0EE-74CD0ECA78F5}"/>
            </c:ext>
          </c:extLst>
        </c:ser>
        <c:dLbls>
          <c:showLegendKey val="0"/>
          <c:showVal val="1"/>
          <c:showCatName val="0"/>
          <c:showSerName val="0"/>
          <c:showPercent val="0"/>
          <c:showBubbleSize val="0"/>
        </c:dLbls>
        <c:gapWidth val="150"/>
        <c:overlap val="-25"/>
        <c:axId val="530951808"/>
        <c:axId val="530949064"/>
      </c:barChart>
      <c:catAx>
        <c:axId val="530951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0949064"/>
        <c:crosses val="autoZero"/>
        <c:auto val="1"/>
        <c:lblAlgn val="ctr"/>
        <c:lblOffset val="100"/>
        <c:noMultiLvlLbl val="0"/>
      </c:catAx>
      <c:valAx>
        <c:axId val="530949064"/>
        <c:scaling>
          <c:orientation val="minMax"/>
        </c:scaling>
        <c:delete val="1"/>
        <c:axPos val="l"/>
        <c:numFmt formatCode="0%" sourceLinked="1"/>
        <c:majorTickMark val="none"/>
        <c:minorTickMark val="none"/>
        <c:tickLblPos val="nextTo"/>
        <c:crossAx val="5309518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płeć</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płeć!$B$11</c:f>
              <c:strCache>
                <c:ptCount val="1"/>
                <c:pt idx="0">
                  <c:v>podlaskie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D62-403F-A5E7-527CB67C2A7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D62-403F-A5E7-527CB67C2A70}"/>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płeć!$F$11:$G$11</c:f>
              <c:numCache>
                <c:formatCode>0%</c:formatCode>
                <c:ptCount val="2"/>
                <c:pt idx="0">
                  <c:v>0.65765765765765771</c:v>
                </c:pt>
                <c:pt idx="1">
                  <c:v>0.34234234234234234</c:v>
                </c:pt>
              </c:numCache>
            </c:numRef>
          </c:val>
          <c:extLst>
            <c:ext xmlns:c16="http://schemas.microsoft.com/office/drawing/2014/chart" uri="{C3380CC4-5D6E-409C-BE32-E72D297353CC}">
              <c16:uniqueId val="{00000004-ED62-403F-A5E7-527CB67C2A70}"/>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wiek!$B$29</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wiek!$C$29:$H$29</c:f>
              <c:numCache>
                <c:formatCode>0%</c:formatCode>
                <c:ptCount val="6"/>
                <c:pt idx="0">
                  <c:v>5.4054054054054057E-2</c:v>
                </c:pt>
                <c:pt idx="1">
                  <c:v>0.26126126126126126</c:v>
                </c:pt>
                <c:pt idx="2">
                  <c:v>0.50450450450450446</c:v>
                </c:pt>
                <c:pt idx="3">
                  <c:v>0.17117117117117117</c:v>
                </c:pt>
                <c:pt idx="4">
                  <c:v>9.0090090090090089E-3</c:v>
                </c:pt>
                <c:pt idx="5">
                  <c:v>0</c:v>
                </c:pt>
              </c:numCache>
            </c:numRef>
          </c:val>
          <c:extLst>
            <c:ext xmlns:c16="http://schemas.microsoft.com/office/drawing/2014/chart" uri="{C3380CC4-5D6E-409C-BE32-E72D297353CC}">
              <c16:uniqueId val="{00000000-10FD-449D-B2E4-8DE89784CEEC}"/>
            </c:ext>
          </c:extLst>
        </c:ser>
        <c:dLbls>
          <c:showLegendKey val="0"/>
          <c:showVal val="1"/>
          <c:showCatName val="0"/>
          <c:showSerName val="0"/>
          <c:showPercent val="0"/>
          <c:showBubbleSize val="0"/>
        </c:dLbls>
        <c:gapWidth val="150"/>
        <c:overlap val="-25"/>
        <c:axId val="530951416"/>
        <c:axId val="530949848"/>
      </c:barChart>
      <c:catAx>
        <c:axId val="530951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30949848"/>
        <c:crosses val="autoZero"/>
        <c:auto val="1"/>
        <c:lblAlgn val="ctr"/>
        <c:lblOffset val="100"/>
        <c:noMultiLvlLbl val="0"/>
      </c:catAx>
      <c:valAx>
        <c:axId val="530949848"/>
        <c:scaling>
          <c:orientation val="minMax"/>
        </c:scaling>
        <c:delete val="1"/>
        <c:axPos val="l"/>
        <c:numFmt formatCode="0%" sourceLinked="1"/>
        <c:majorTickMark val="none"/>
        <c:minorTickMark val="none"/>
        <c:tickLblPos val="nextTo"/>
        <c:crossAx val="5309514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na rynku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status!$B$32</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status!$C$32:$H$32</c:f>
              <c:numCache>
                <c:formatCode>0%</c:formatCode>
                <c:ptCount val="6"/>
                <c:pt idx="0">
                  <c:v>0.23423423423423423</c:v>
                </c:pt>
                <c:pt idx="1">
                  <c:v>2.7027027027027029E-2</c:v>
                </c:pt>
                <c:pt idx="2">
                  <c:v>0.73873873873873874</c:v>
                </c:pt>
                <c:pt idx="3">
                  <c:v>0</c:v>
                </c:pt>
                <c:pt idx="4">
                  <c:v>0</c:v>
                </c:pt>
                <c:pt idx="5">
                  <c:v>0</c:v>
                </c:pt>
              </c:numCache>
            </c:numRef>
          </c:val>
          <c:extLst>
            <c:ext xmlns:c16="http://schemas.microsoft.com/office/drawing/2014/chart" uri="{C3380CC4-5D6E-409C-BE32-E72D297353CC}">
              <c16:uniqueId val="{00000000-FEB3-482B-958F-B3531C17429C}"/>
            </c:ext>
          </c:extLst>
        </c:ser>
        <c:dLbls>
          <c:showLegendKey val="0"/>
          <c:showVal val="1"/>
          <c:showCatName val="0"/>
          <c:showSerName val="0"/>
          <c:showPercent val="0"/>
          <c:showBubbleSize val="0"/>
        </c:dLbls>
        <c:gapWidth val="150"/>
        <c:overlap val="-25"/>
        <c:axId val="530951024"/>
        <c:axId val="575587552"/>
      </c:barChart>
      <c:catAx>
        <c:axId val="53095102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587552"/>
        <c:crosses val="autoZero"/>
        <c:auto val="1"/>
        <c:lblAlgn val="ctr"/>
        <c:lblOffset val="100"/>
        <c:noMultiLvlLbl val="0"/>
      </c:catAx>
      <c:valAx>
        <c:axId val="575587552"/>
        <c:scaling>
          <c:orientation val="minMax"/>
        </c:scaling>
        <c:delete val="1"/>
        <c:axPos val="t"/>
        <c:numFmt formatCode="0%" sourceLinked="1"/>
        <c:majorTickMark val="none"/>
        <c:minorTickMark val="none"/>
        <c:tickLblPos val="nextTo"/>
        <c:crossAx val="5309510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ON!$B$31</c:f>
              <c:strCache>
                <c:ptCount val="1"/>
                <c:pt idx="0">
                  <c:v>podlaskie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DBE-407A-BA9D-DD6D1E07EB8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DBE-407A-BA9D-DD6D1E07EB8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ON!$C$31:$D$31</c:f>
              <c:numCache>
                <c:formatCode>0%</c:formatCode>
                <c:ptCount val="2"/>
                <c:pt idx="0">
                  <c:v>0.28828828828828829</c:v>
                </c:pt>
                <c:pt idx="1">
                  <c:v>0.71171171171171166</c:v>
                </c:pt>
              </c:numCache>
            </c:numRef>
          </c:val>
          <c:extLst>
            <c:ext xmlns:c16="http://schemas.microsoft.com/office/drawing/2014/chart" uri="{C3380CC4-5D6E-409C-BE32-E72D297353CC}">
              <c16:uniqueId val="{00000004-0DBE-407A-BA9D-DD6D1E07EB84}"/>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28280663742535539"/>
          <c:y val="0.18521847690387017"/>
          <c:w val="0.69258486145607634"/>
          <c:h val="0.75985018726591758"/>
        </c:manualLayout>
      </c:layout>
      <c:barChart>
        <c:barDir val="bar"/>
        <c:grouping val="clustered"/>
        <c:varyColors val="0"/>
        <c:ser>
          <c:idx val="0"/>
          <c:order val="0"/>
          <c:tx>
            <c:strRef>
              <c:f>wykszt!$B$29</c:f>
              <c:strCache>
                <c:ptCount val="1"/>
                <c:pt idx="0">
                  <c:v>podlaskie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wykszt!$C$29:$J$29</c:f>
              <c:numCache>
                <c:formatCode>0%</c:formatCode>
                <c:ptCount val="8"/>
                <c:pt idx="0">
                  <c:v>0</c:v>
                </c:pt>
                <c:pt idx="1">
                  <c:v>0.1891891891891892</c:v>
                </c:pt>
                <c:pt idx="2">
                  <c:v>0</c:v>
                </c:pt>
                <c:pt idx="3">
                  <c:v>0.16216216216216217</c:v>
                </c:pt>
                <c:pt idx="4">
                  <c:v>0.46846846846846846</c:v>
                </c:pt>
                <c:pt idx="5">
                  <c:v>1.8018018018018018E-2</c:v>
                </c:pt>
                <c:pt idx="6">
                  <c:v>1.8018018018018018E-2</c:v>
                </c:pt>
                <c:pt idx="7">
                  <c:v>0.14414414414414414</c:v>
                </c:pt>
              </c:numCache>
            </c:numRef>
          </c:val>
          <c:extLst>
            <c:ext xmlns:c16="http://schemas.microsoft.com/office/drawing/2014/chart" uri="{C3380CC4-5D6E-409C-BE32-E72D297353CC}">
              <c16:uniqueId val="{00000000-0AE0-41DB-964C-A7B158E5FAE1}"/>
            </c:ext>
          </c:extLst>
        </c:ser>
        <c:dLbls>
          <c:showLegendKey val="0"/>
          <c:showVal val="1"/>
          <c:showCatName val="0"/>
          <c:showSerName val="0"/>
          <c:showPercent val="0"/>
          <c:showBubbleSize val="0"/>
        </c:dLbls>
        <c:gapWidth val="150"/>
        <c:overlap val="-25"/>
        <c:axId val="575589120"/>
        <c:axId val="575586376"/>
      </c:barChart>
      <c:catAx>
        <c:axId val="5755891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5586376"/>
        <c:crosses val="autoZero"/>
        <c:auto val="1"/>
        <c:lblAlgn val="ctr"/>
        <c:lblOffset val="100"/>
        <c:noMultiLvlLbl val="0"/>
      </c:catAx>
      <c:valAx>
        <c:axId val="575586376"/>
        <c:scaling>
          <c:orientation val="minMax"/>
        </c:scaling>
        <c:delete val="1"/>
        <c:axPos val="b"/>
        <c:numFmt formatCode="0%" sourceLinked="1"/>
        <c:majorTickMark val="none"/>
        <c:minorTickMark val="none"/>
        <c:tickLblPos val="nextTo"/>
        <c:crossAx val="5755891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16cfe33-432d-4810-86ce-d869083c75a3}"/>
      </w:docPartPr>
      <w:docPartBody>
        <w:p w14:paraId="1264611B">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83BD1-2C46-40E5-9E78-38A4C6DC4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25AF0-BB5E-455B-B039-CE2F1B656778}">
  <ds:schemaRef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af61acb3-121d-4d71-bde7-5f2ffce99a80"/>
    <ds:schemaRef ds:uri="http://schemas.microsoft.com/office/infopath/2007/PartnerControls"/>
    <ds:schemaRef ds:uri="32b2fe3a-7a8c-4032-b4dd-3b68099be7d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DA8DC75-B10E-47BF-B4A9-3D94CC90564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Joanna Jaworska</dc:creator>
  <keywords/>
  <dc:description/>
  <lastModifiedBy>Joanna Jaworska</lastModifiedBy>
  <revision>3</revision>
  <lastPrinted>2023-10-31T14:48:00.0000000Z</lastPrinted>
  <dcterms:created xsi:type="dcterms:W3CDTF">2023-11-28T09:52:00.0000000Z</dcterms:created>
  <dcterms:modified xsi:type="dcterms:W3CDTF">2023-11-29T09:12:43.6648007Z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